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ECAB1" w14:textId="77777777" w:rsidR="00EC227B" w:rsidRPr="00BD189B" w:rsidRDefault="00EC227B" w:rsidP="00EC227B">
      <w:pPr>
        <w:rPr>
          <w:b/>
          <w:bCs/>
          <w:sz w:val="28"/>
          <w:szCs w:val="28"/>
        </w:rPr>
      </w:pPr>
      <w:r w:rsidRPr="00BF488D">
        <w:rPr>
          <w:b/>
          <w:bCs/>
        </w:rPr>
        <w:t xml:space="preserve">Resource Pack #SW LCEP </w:t>
      </w:r>
      <w:r>
        <w:rPr>
          <w:b/>
          <w:bCs/>
        </w:rPr>
        <w:t>4</w:t>
      </w:r>
      <w:r w:rsidRPr="00BF488D">
        <w:rPr>
          <w:b/>
          <w:bCs/>
        </w:rPr>
        <w:br/>
      </w:r>
      <w:r w:rsidRPr="00BD189B">
        <w:rPr>
          <w:b/>
          <w:bCs/>
          <w:sz w:val="28"/>
          <w:szCs w:val="28"/>
        </w:rPr>
        <w:t>Installing Solar Panels for Councils and Management Committees</w:t>
      </w:r>
    </w:p>
    <w:p w14:paraId="7D22DDA3" w14:textId="77777777" w:rsidR="00EC227B" w:rsidRPr="0017581C" w:rsidRDefault="00EC227B" w:rsidP="00EC227B">
      <w:pPr>
        <w:rPr>
          <w:b/>
          <w:bCs/>
          <w:sz w:val="24"/>
          <w:szCs w:val="24"/>
        </w:rPr>
      </w:pPr>
      <w:r w:rsidRPr="005350F7">
        <w:rPr>
          <w:b/>
          <w:bCs/>
          <w:sz w:val="24"/>
          <w:szCs w:val="24"/>
          <w:highlight w:val="yellow"/>
        </w:rPr>
        <w:t>The Benefits of Installing Solar Panels for Community Buildings</w:t>
      </w:r>
    </w:p>
    <w:p w14:paraId="3D9DA170" w14:textId="77777777" w:rsidR="00EC227B" w:rsidRPr="0017581C" w:rsidRDefault="00EC227B" w:rsidP="00EC227B">
      <w:pPr>
        <w:rPr>
          <w:sz w:val="24"/>
          <w:szCs w:val="24"/>
        </w:rPr>
      </w:pPr>
      <w:r w:rsidRPr="0017581C">
        <w:rPr>
          <w:sz w:val="24"/>
          <w:szCs w:val="24"/>
        </w:rPr>
        <w:t>For parish and town councils, village hall committees, and other community building managers, keeping costs down while improving sustainability is a constant challenge. Installing solar panels is one of the most practical, cost</w:t>
      </w:r>
      <w:r w:rsidRPr="0017581C">
        <w:rPr>
          <w:sz w:val="24"/>
          <w:szCs w:val="24"/>
        </w:rPr>
        <w:noBreakHyphen/>
        <w:t>effective, and future</w:t>
      </w:r>
      <w:r w:rsidRPr="0017581C">
        <w:rPr>
          <w:sz w:val="24"/>
          <w:szCs w:val="24"/>
        </w:rPr>
        <w:noBreakHyphen/>
        <w:t>proof ways to achieve both.</w:t>
      </w:r>
    </w:p>
    <w:p w14:paraId="63471CD4" w14:textId="77777777" w:rsidR="00EC227B" w:rsidRPr="00530782" w:rsidRDefault="00EC227B" w:rsidP="00EC227B">
      <w:pPr>
        <w:pStyle w:val="Heading2"/>
        <w:rPr>
          <w:rFonts w:asciiTheme="minorHAnsi" w:hAnsiTheme="minorHAnsi"/>
          <w:b/>
          <w:bCs/>
          <w:color w:val="auto"/>
          <w:sz w:val="24"/>
          <w:szCs w:val="24"/>
        </w:rPr>
      </w:pPr>
      <w:r w:rsidRPr="00530782">
        <w:rPr>
          <w:rFonts w:asciiTheme="minorHAnsi" w:hAnsiTheme="minorHAnsi"/>
          <w:b/>
          <w:bCs/>
          <w:color w:val="auto"/>
          <w:sz w:val="24"/>
          <w:szCs w:val="24"/>
        </w:rPr>
        <w:t>1. Lower Energy Bills and Long-Term Savings</w:t>
      </w:r>
    </w:p>
    <w:p w14:paraId="3A29D45F" w14:textId="77777777" w:rsidR="00EC227B" w:rsidRDefault="00EC227B" w:rsidP="00EC227B">
      <w:pPr>
        <w:rPr>
          <w:sz w:val="24"/>
          <w:szCs w:val="24"/>
        </w:rPr>
      </w:pPr>
      <w:r w:rsidRPr="00BA5314">
        <w:rPr>
          <w:sz w:val="24"/>
          <w:szCs w:val="24"/>
        </w:rPr>
        <w:t>Community buildings often face high energy costs due to heating, lighting, and regular events. Solar panels reduce dependence on grid electricity, cutting monthly bills.</w:t>
      </w:r>
    </w:p>
    <w:p w14:paraId="71C514CE" w14:textId="77777777" w:rsidR="00EC227B" w:rsidRPr="00BA5314" w:rsidRDefault="00EC227B" w:rsidP="00EC227B">
      <w:pPr>
        <w:rPr>
          <w:sz w:val="24"/>
          <w:szCs w:val="24"/>
        </w:rPr>
      </w:pPr>
      <w:r>
        <w:rPr>
          <w:sz w:val="24"/>
          <w:szCs w:val="24"/>
        </w:rPr>
        <w:t>Case studies: Kenilworth Community Centre, Earlswood Village Hall</w:t>
      </w:r>
    </w:p>
    <w:p w14:paraId="30BC09F0" w14:textId="77777777" w:rsidR="00EC227B" w:rsidRPr="00530782" w:rsidRDefault="00EC227B" w:rsidP="00EC227B">
      <w:pPr>
        <w:pStyle w:val="Heading2"/>
        <w:rPr>
          <w:rFonts w:asciiTheme="minorHAnsi" w:hAnsiTheme="minorHAnsi"/>
          <w:b/>
          <w:bCs/>
          <w:color w:val="auto"/>
          <w:sz w:val="24"/>
          <w:szCs w:val="24"/>
        </w:rPr>
      </w:pPr>
      <w:r w:rsidRPr="00530782">
        <w:rPr>
          <w:rFonts w:asciiTheme="minorHAnsi" w:hAnsiTheme="minorHAnsi"/>
          <w:b/>
          <w:bCs/>
          <w:color w:val="auto"/>
          <w:sz w:val="24"/>
          <w:szCs w:val="24"/>
        </w:rPr>
        <w:t>2. Protection from Rising Energy Prices</w:t>
      </w:r>
    </w:p>
    <w:p w14:paraId="38D613A1" w14:textId="77777777" w:rsidR="00EC227B" w:rsidRPr="00BA5314" w:rsidRDefault="00EC227B" w:rsidP="00EC227B">
      <w:pPr>
        <w:rPr>
          <w:sz w:val="24"/>
          <w:szCs w:val="24"/>
        </w:rPr>
      </w:pPr>
      <w:r w:rsidRPr="00BA5314">
        <w:rPr>
          <w:sz w:val="24"/>
          <w:szCs w:val="24"/>
        </w:rPr>
        <w:t>Energy prices are volatile and have risen sharply in recent years. Generating your own electricity provides price stability, shielding community budgets from future price hikes and improving financial predictability.</w:t>
      </w:r>
    </w:p>
    <w:p w14:paraId="07BBE05B" w14:textId="77777777" w:rsidR="00EC227B" w:rsidRPr="00530782" w:rsidRDefault="00EC227B" w:rsidP="00EC227B">
      <w:pPr>
        <w:pStyle w:val="Heading2"/>
        <w:rPr>
          <w:rFonts w:asciiTheme="minorHAnsi" w:hAnsiTheme="minorHAnsi"/>
          <w:b/>
          <w:bCs/>
          <w:color w:val="auto"/>
          <w:sz w:val="24"/>
          <w:szCs w:val="24"/>
        </w:rPr>
      </w:pPr>
      <w:r w:rsidRPr="00530782">
        <w:rPr>
          <w:rFonts w:asciiTheme="minorHAnsi" w:hAnsiTheme="minorHAnsi"/>
          <w:b/>
          <w:bCs/>
          <w:color w:val="auto"/>
          <w:sz w:val="24"/>
          <w:szCs w:val="24"/>
        </w:rPr>
        <w:t>3. Access to Grants and Incentives</w:t>
      </w:r>
    </w:p>
    <w:p w14:paraId="4D9AC6DE" w14:textId="77777777" w:rsidR="00EC227B" w:rsidRPr="00BA5314" w:rsidRDefault="00EC227B" w:rsidP="00EC227B">
      <w:pPr>
        <w:rPr>
          <w:sz w:val="24"/>
          <w:szCs w:val="24"/>
        </w:rPr>
      </w:pPr>
      <w:r>
        <w:rPr>
          <w:sz w:val="24"/>
          <w:szCs w:val="24"/>
        </w:rPr>
        <w:t>Local authority funds</w:t>
      </w:r>
      <w:r w:rsidRPr="00BA5314">
        <w:rPr>
          <w:sz w:val="24"/>
          <w:szCs w:val="24"/>
        </w:rPr>
        <w:t xml:space="preserve">, </w:t>
      </w:r>
      <w:r>
        <w:rPr>
          <w:sz w:val="24"/>
          <w:szCs w:val="24"/>
        </w:rPr>
        <w:t>foundations and grants</w:t>
      </w:r>
      <w:r w:rsidRPr="00BA5314">
        <w:rPr>
          <w:sz w:val="24"/>
          <w:szCs w:val="24"/>
        </w:rPr>
        <w:t xml:space="preserve">, and frameworks such as </w:t>
      </w:r>
      <w:r>
        <w:rPr>
          <w:sz w:val="24"/>
          <w:szCs w:val="24"/>
        </w:rPr>
        <w:t>ESPO</w:t>
      </w:r>
      <w:r w:rsidRPr="00BA5314">
        <w:rPr>
          <w:sz w:val="24"/>
          <w:szCs w:val="24"/>
        </w:rPr>
        <w:t xml:space="preserve"> make procurement easier and reduce costs. </w:t>
      </w:r>
      <w:r>
        <w:rPr>
          <w:sz w:val="24"/>
          <w:szCs w:val="24"/>
        </w:rPr>
        <w:t>Parish and town c</w:t>
      </w:r>
      <w:r w:rsidRPr="00BA5314">
        <w:rPr>
          <w:sz w:val="24"/>
          <w:szCs w:val="24"/>
        </w:rPr>
        <w:t xml:space="preserve">ouncils can </w:t>
      </w:r>
      <w:r>
        <w:rPr>
          <w:sz w:val="24"/>
          <w:szCs w:val="24"/>
        </w:rPr>
        <w:t>also</w:t>
      </w:r>
      <w:r w:rsidRPr="00BA5314">
        <w:rPr>
          <w:sz w:val="24"/>
          <w:szCs w:val="24"/>
        </w:rPr>
        <w:t xml:space="preserve"> access preferential loan rates through the Public Works Loan Board to fund installations at low interest.</w:t>
      </w:r>
    </w:p>
    <w:p w14:paraId="45CC1B40" w14:textId="77777777" w:rsidR="00EC227B" w:rsidRPr="001B2E83" w:rsidRDefault="00EC227B" w:rsidP="00EC227B">
      <w:pPr>
        <w:pStyle w:val="Heading2"/>
        <w:rPr>
          <w:rFonts w:asciiTheme="minorHAnsi" w:hAnsiTheme="minorHAnsi"/>
          <w:b/>
          <w:bCs/>
          <w:color w:val="auto"/>
          <w:sz w:val="24"/>
          <w:szCs w:val="24"/>
        </w:rPr>
      </w:pPr>
      <w:r w:rsidRPr="001B2E83">
        <w:rPr>
          <w:rFonts w:asciiTheme="minorHAnsi" w:hAnsiTheme="minorHAnsi"/>
          <w:b/>
          <w:bCs/>
          <w:color w:val="auto"/>
          <w:sz w:val="24"/>
          <w:szCs w:val="24"/>
        </w:rPr>
        <w:t>4. Improved Sustainability and Reputation</w:t>
      </w:r>
    </w:p>
    <w:p w14:paraId="423E2F9B" w14:textId="77777777" w:rsidR="00EC227B" w:rsidRPr="00BA5314" w:rsidRDefault="00EC227B" w:rsidP="00EC227B">
      <w:pPr>
        <w:rPr>
          <w:sz w:val="24"/>
          <w:szCs w:val="24"/>
        </w:rPr>
      </w:pPr>
      <w:r w:rsidRPr="00BA5314">
        <w:rPr>
          <w:sz w:val="24"/>
          <w:szCs w:val="24"/>
        </w:rPr>
        <w:t>Going solar demonstrates leadership on climate action and supports local and national net</w:t>
      </w:r>
      <w:r w:rsidRPr="00BA5314">
        <w:rPr>
          <w:rFonts w:ascii="Cambria Math" w:hAnsi="Cambria Math" w:cs="Cambria Math"/>
          <w:sz w:val="24"/>
          <w:szCs w:val="24"/>
        </w:rPr>
        <w:t>‑</w:t>
      </w:r>
      <w:r w:rsidRPr="00BA5314">
        <w:rPr>
          <w:sz w:val="24"/>
          <w:szCs w:val="24"/>
        </w:rPr>
        <w:t>zero targets.</w:t>
      </w:r>
    </w:p>
    <w:p w14:paraId="66B5207A" w14:textId="77777777" w:rsidR="00EC227B" w:rsidRPr="00F06F7A" w:rsidRDefault="00EC227B" w:rsidP="00EC227B">
      <w:pPr>
        <w:pStyle w:val="Heading2"/>
        <w:rPr>
          <w:rFonts w:asciiTheme="minorHAnsi" w:hAnsiTheme="minorHAnsi"/>
          <w:b/>
          <w:bCs/>
          <w:color w:val="auto"/>
          <w:sz w:val="24"/>
          <w:szCs w:val="24"/>
        </w:rPr>
      </w:pPr>
      <w:r w:rsidRPr="00F06F7A">
        <w:rPr>
          <w:rFonts w:asciiTheme="minorHAnsi" w:hAnsiTheme="minorHAnsi"/>
          <w:b/>
          <w:bCs/>
          <w:color w:val="auto"/>
          <w:sz w:val="24"/>
          <w:szCs w:val="24"/>
        </w:rPr>
        <w:t>5. Low Maintenance and Long Lifespan</w:t>
      </w:r>
    </w:p>
    <w:p w14:paraId="4DABD9FC" w14:textId="77777777" w:rsidR="00EC227B" w:rsidRPr="00BA5314" w:rsidRDefault="00EC227B" w:rsidP="00EC227B">
      <w:pPr>
        <w:rPr>
          <w:sz w:val="24"/>
          <w:szCs w:val="24"/>
        </w:rPr>
      </w:pPr>
      <w:r w:rsidRPr="00BA5314">
        <w:rPr>
          <w:sz w:val="24"/>
          <w:szCs w:val="24"/>
        </w:rPr>
        <w:t>Modern solar panels last 25–30 years and require minimal maintenance. Establishing an operation and maintenance contract ensures consistent generation and predictable performance.</w:t>
      </w:r>
    </w:p>
    <w:p w14:paraId="54D68771" w14:textId="77777777" w:rsidR="00EC227B" w:rsidRPr="00F336D5" w:rsidRDefault="00EC227B" w:rsidP="00EC227B">
      <w:pPr>
        <w:pStyle w:val="Heading2"/>
        <w:rPr>
          <w:rFonts w:asciiTheme="minorHAnsi" w:hAnsiTheme="minorHAnsi"/>
          <w:b/>
          <w:bCs/>
          <w:color w:val="auto"/>
          <w:sz w:val="24"/>
          <w:szCs w:val="24"/>
        </w:rPr>
      </w:pPr>
      <w:r w:rsidRPr="00F336D5">
        <w:rPr>
          <w:rFonts w:asciiTheme="minorHAnsi" w:hAnsiTheme="minorHAnsi"/>
          <w:b/>
          <w:bCs/>
          <w:color w:val="auto"/>
          <w:sz w:val="24"/>
          <w:szCs w:val="24"/>
        </w:rPr>
        <w:t>6. Educational and Community Engagement Opportunities</w:t>
      </w:r>
    </w:p>
    <w:p w14:paraId="4516CD4C" w14:textId="77777777" w:rsidR="00EC227B" w:rsidRDefault="00EC227B" w:rsidP="00EC227B">
      <w:pPr>
        <w:rPr>
          <w:sz w:val="24"/>
          <w:szCs w:val="24"/>
        </w:rPr>
      </w:pPr>
      <w:r w:rsidRPr="00BA5314">
        <w:rPr>
          <w:sz w:val="24"/>
          <w:szCs w:val="24"/>
        </w:rPr>
        <w:t xml:space="preserve">Solar installations can include displays showing real-time generation data, allowing </w:t>
      </w:r>
      <w:r>
        <w:rPr>
          <w:sz w:val="24"/>
          <w:szCs w:val="24"/>
        </w:rPr>
        <w:t xml:space="preserve">users and </w:t>
      </w:r>
      <w:r w:rsidRPr="00BA5314">
        <w:rPr>
          <w:sz w:val="24"/>
          <w:szCs w:val="24"/>
        </w:rPr>
        <w:t>visitors to learn about renewable energy.</w:t>
      </w:r>
    </w:p>
    <w:p w14:paraId="16CEAEE2" w14:textId="77777777" w:rsidR="00EC227B" w:rsidRPr="00BA5314" w:rsidRDefault="00EC227B" w:rsidP="00EC227B">
      <w:pPr>
        <w:rPr>
          <w:sz w:val="24"/>
          <w:szCs w:val="24"/>
        </w:rPr>
      </w:pPr>
      <w:r>
        <w:rPr>
          <w:sz w:val="24"/>
          <w:szCs w:val="24"/>
        </w:rPr>
        <w:t>Photo of Snitterfield Village Hall real-time data installed above toilet entrance</w:t>
      </w:r>
    </w:p>
    <w:p w14:paraId="1217D884" w14:textId="77777777" w:rsidR="00EC227B" w:rsidRPr="00F336D5" w:rsidRDefault="00EC227B" w:rsidP="00EC227B">
      <w:pPr>
        <w:pStyle w:val="Heading2"/>
        <w:rPr>
          <w:rFonts w:asciiTheme="minorHAnsi" w:hAnsiTheme="minorHAnsi"/>
          <w:b/>
          <w:bCs/>
          <w:color w:val="auto"/>
          <w:sz w:val="24"/>
          <w:szCs w:val="24"/>
        </w:rPr>
      </w:pPr>
      <w:r w:rsidRPr="005350F7">
        <w:rPr>
          <w:rFonts w:asciiTheme="minorHAnsi" w:hAnsiTheme="minorHAnsi"/>
          <w:b/>
          <w:bCs/>
          <w:color w:val="auto"/>
          <w:sz w:val="24"/>
          <w:szCs w:val="24"/>
          <w:highlight w:val="yellow"/>
        </w:rPr>
        <w:t>Step One - Start with an Energy Audit</w:t>
      </w:r>
    </w:p>
    <w:p w14:paraId="37D9ED36" w14:textId="77777777" w:rsidR="00EC227B" w:rsidRDefault="00EC227B" w:rsidP="00EC227B">
      <w:pPr>
        <w:rPr>
          <w:sz w:val="24"/>
          <w:szCs w:val="24"/>
        </w:rPr>
      </w:pPr>
      <w:r w:rsidRPr="00F336D5">
        <w:rPr>
          <w:sz w:val="24"/>
          <w:szCs w:val="24"/>
        </w:rPr>
        <w:t>Before committing to solar, it’s essential to understand your building’s current energy use and identify the most effective measures.</w:t>
      </w:r>
    </w:p>
    <w:p w14:paraId="3E6DFF5E" w14:textId="77777777" w:rsidR="00EC227B" w:rsidRDefault="00EC227B" w:rsidP="00EC227B">
      <w:pPr>
        <w:rPr>
          <w:sz w:val="24"/>
          <w:szCs w:val="24"/>
        </w:rPr>
      </w:pPr>
      <w:r w:rsidRPr="00F336D5">
        <w:rPr>
          <w:sz w:val="24"/>
          <w:szCs w:val="24"/>
        </w:rPr>
        <w:t>Options include:</w:t>
      </w:r>
    </w:p>
    <w:p w14:paraId="1CEA8F52" w14:textId="77777777" w:rsidR="00EC227B" w:rsidRDefault="00EC227B" w:rsidP="00EC227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Utility Aid</w:t>
      </w:r>
    </w:p>
    <w:p w14:paraId="6D88EBEB" w14:textId="77777777" w:rsidR="00EC227B" w:rsidRDefault="00EC227B" w:rsidP="00EC227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336D5">
        <w:rPr>
          <w:sz w:val="24"/>
          <w:szCs w:val="24"/>
        </w:rPr>
        <w:t xml:space="preserve">Professional Energy Audit: Act on Energy offers </w:t>
      </w:r>
      <w:hyperlink r:id="rId7" w:history="1">
        <w:r w:rsidRPr="00061FA1">
          <w:rPr>
            <w:rStyle w:val="Hyperlink"/>
            <w:sz w:val="24"/>
            <w:szCs w:val="24"/>
          </w:rPr>
          <w:t>free Energy Bill Health Checks</w:t>
        </w:r>
      </w:hyperlink>
      <w:r w:rsidRPr="00F336D5">
        <w:rPr>
          <w:sz w:val="24"/>
          <w:szCs w:val="24"/>
        </w:rPr>
        <w:t xml:space="preserve"> for non-profit organisations.</w:t>
      </w:r>
    </w:p>
    <w:p w14:paraId="38CF79E0" w14:textId="77777777" w:rsidR="00EC227B" w:rsidRPr="007D3B5C" w:rsidRDefault="00EC227B" w:rsidP="00EC227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336D5">
        <w:rPr>
          <w:sz w:val="24"/>
          <w:szCs w:val="24"/>
        </w:rPr>
        <w:t>DIY Energy Survey: The Centre for Sustainable Energy provides a step-by-step guide to assess heating, lighting, insulation, and equipment efficiency. This checklist can form the basis of a carbon reduction plan and help prioritise actions — from no-cost behaviour changes to major investments like solar panels.</w:t>
      </w:r>
    </w:p>
    <w:p w14:paraId="0A83689C" w14:textId="77777777" w:rsidR="00EC227B" w:rsidRPr="00AE1D72" w:rsidRDefault="00EC227B" w:rsidP="00EC227B">
      <w:pPr>
        <w:rPr>
          <w:b/>
          <w:bCs/>
          <w:sz w:val="24"/>
          <w:szCs w:val="24"/>
        </w:rPr>
      </w:pPr>
      <w:r w:rsidRPr="005350F7">
        <w:rPr>
          <w:b/>
          <w:bCs/>
          <w:sz w:val="24"/>
          <w:szCs w:val="24"/>
          <w:highlight w:val="yellow"/>
        </w:rPr>
        <w:t>Step Two - Key Considerations Before Installation</w:t>
      </w:r>
    </w:p>
    <w:p w14:paraId="6E50E12A" w14:textId="77777777" w:rsidR="00EC227B" w:rsidRPr="00AE1D72" w:rsidRDefault="00EC227B" w:rsidP="00EC227B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AE1D72">
        <w:rPr>
          <w:sz w:val="24"/>
          <w:szCs w:val="24"/>
        </w:rPr>
        <w:t>Energy Usage &amp; Savings: Analyse current energy consumption patterns, estimate savings, consider ROI and payback period (3–7 years).</w:t>
      </w:r>
    </w:p>
    <w:p w14:paraId="2FDB06D0" w14:textId="77777777" w:rsidR="00EC227B" w:rsidRPr="00AE1D72" w:rsidRDefault="00EC227B" w:rsidP="00EC227B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AE1D72">
        <w:rPr>
          <w:sz w:val="24"/>
          <w:szCs w:val="24"/>
        </w:rPr>
        <w:t>Roof/Property Suitability: Check available roof or ground space, structural integrity, and sun exposure.</w:t>
      </w:r>
    </w:p>
    <w:p w14:paraId="00A12B77" w14:textId="77777777" w:rsidR="00EC227B" w:rsidRPr="00AE1D72" w:rsidRDefault="00EC227B" w:rsidP="00EC227B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AE1D72">
        <w:rPr>
          <w:sz w:val="24"/>
          <w:szCs w:val="24"/>
        </w:rPr>
        <w:t>Regulations &amp; Incentives: Investigate grants and rebates, ensure compliance with building codes, and check net metering policies.</w:t>
      </w:r>
    </w:p>
    <w:p w14:paraId="420D15CC" w14:textId="77777777" w:rsidR="00EC227B" w:rsidRPr="00AE1D72" w:rsidRDefault="00EC227B" w:rsidP="00EC227B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AE1D72">
        <w:rPr>
          <w:sz w:val="24"/>
          <w:szCs w:val="24"/>
        </w:rPr>
        <w:t>Upfront Costs &amp; Financing: Compare purchase, lease, PPA, and loan options. Factor in total system and maintenance costs.</w:t>
      </w:r>
    </w:p>
    <w:p w14:paraId="0B0A1B57" w14:textId="77777777" w:rsidR="00EC227B" w:rsidRPr="00AE1D72" w:rsidRDefault="00EC227B" w:rsidP="00EC227B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AE1D72">
        <w:rPr>
          <w:sz w:val="24"/>
          <w:szCs w:val="24"/>
        </w:rPr>
        <w:t>Reputation of Installers: Vet experience, certifications, references, and warranty terms.</w:t>
      </w:r>
    </w:p>
    <w:p w14:paraId="1DC78A96" w14:textId="77777777" w:rsidR="00EC227B" w:rsidRPr="00AE1D72" w:rsidRDefault="00EC227B" w:rsidP="00EC227B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AE1D72">
        <w:rPr>
          <w:sz w:val="24"/>
          <w:szCs w:val="24"/>
        </w:rPr>
        <w:t>Scalability &amp; Future Expansion: Plan for battery storage, EV charging, or adding more panels.</w:t>
      </w:r>
    </w:p>
    <w:p w14:paraId="0B1C55E4" w14:textId="77777777" w:rsidR="00EC227B" w:rsidRPr="00AE1D72" w:rsidRDefault="00EC227B" w:rsidP="00EC227B">
      <w:pPr>
        <w:pStyle w:val="ListParagraph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AE1D72">
        <w:rPr>
          <w:sz w:val="24"/>
          <w:szCs w:val="24"/>
        </w:rPr>
        <w:t xml:space="preserve">Environmental and PR Impact: </w:t>
      </w:r>
      <w:r w:rsidRPr="007E4BE3">
        <w:rPr>
          <w:sz w:val="24"/>
          <w:szCs w:val="24"/>
          <w:highlight w:val="yellow"/>
        </w:rPr>
        <w:t>Quantify emissions reduction</w:t>
      </w:r>
      <w:r w:rsidRPr="00AE1D72">
        <w:rPr>
          <w:sz w:val="24"/>
          <w:szCs w:val="24"/>
        </w:rPr>
        <w:t>, leverage project for branding and</w:t>
      </w:r>
      <w:r>
        <w:rPr>
          <w:sz w:val="24"/>
          <w:szCs w:val="24"/>
        </w:rPr>
        <w:t xml:space="preserve"> </w:t>
      </w:r>
      <w:r w:rsidRPr="00AE1D72">
        <w:rPr>
          <w:sz w:val="24"/>
          <w:szCs w:val="24"/>
        </w:rPr>
        <w:t xml:space="preserve">ESG </w:t>
      </w:r>
      <w:r>
        <w:rPr>
          <w:sz w:val="24"/>
          <w:szCs w:val="24"/>
        </w:rPr>
        <w:t>requirements from funders</w:t>
      </w:r>
      <w:r w:rsidRPr="00AE1D72">
        <w:rPr>
          <w:sz w:val="24"/>
          <w:szCs w:val="24"/>
        </w:rPr>
        <w:t>.</w:t>
      </w:r>
    </w:p>
    <w:p w14:paraId="5917C48C" w14:textId="77777777" w:rsidR="00EC227B" w:rsidRPr="00837282" w:rsidRDefault="00EC227B" w:rsidP="00EC227B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BA5314">
        <w:rPr>
          <w:sz w:val="24"/>
          <w:szCs w:val="24"/>
        </w:rPr>
        <w:t xml:space="preserve">Battery Storage </w:t>
      </w:r>
      <w:r w:rsidRPr="002750D3">
        <w:rPr>
          <w:b/>
          <w:bCs/>
          <w:sz w:val="24"/>
          <w:szCs w:val="24"/>
        </w:rPr>
        <w:t>(Optional):</w:t>
      </w:r>
      <w:r w:rsidRPr="00BA5314">
        <w:rPr>
          <w:sz w:val="24"/>
          <w:szCs w:val="24"/>
        </w:rPr>
        <w:t xml:space="preserve"> Consider storage for backup or peak shaving, including cost and space requirements.</w:t>
      </w:r>
      <w:r>
        <w:rPr>
          <w:sz w:val="24"/>
          <w:szCs w:val="24"/>
        </w:rPr>
        <w:t xml:space="preserve"> See Case study</w:t>
      </w:r>
    </w:p>
    <w:p w14:paraId="7FDC1BF4" w14:textId="77777777" w:rsidR="00EC227B" w:rsidRPr="00352A6B" w:rsidRDefault="00EC227B" w:rsidP="00EC227B">
      <w:pPr>
        <w:pStyle w:val="Heading2"/>
        <w:rPr>
          <w:rFonts w:asciiTheme="minorHAnsi" w:hAnsiTheme="minorHAnsi"/>
          <w:b/>
          <w:bCs/>
          <w:i/>
          <w:iCs/>
          <w:color w:val="auto"/>
          <w:sz w:val="24"/>
          <w:szCs w:val="24"/>
        </w:rPr>
      </w:pPr>
      <w:r w:rsidRPr="00352A6B">
        <w:rPr>
          <w:rFonts w:asciiTheme="minorHAnsi" w:hAnsiTheme="minorHAnsi"/>
          <w:b/>
          <w:bCs/>
          <w:i/>
          <w:iCs/>
          <w:color w:val="auto"/>
          <w:sz w:val="24"/>
          <w:szCs w:val="24"/>
        </w:rPr>
        <w:t>Why Accreditation Matters: MCS Certification</w:t>
      </w:r>
    </w:p>
    <w:p w14:paraId="3A294B77" w14:textId="77777777" w:rsidR="00EC227B" w:rsidRPr="00352A6B" w:rsidRDefault="00EC227B" w:rsidP="00EC227B">
      <w:pPr>
        <w:rPr>
          <w:i/>
          <w:iCs/>
          <w:sz w:val="24"/>
          <w:szCs w:val="24"/>
        </w:rPr>
      </w:pPr>
      <w:r w:rsidRPr="00352A6B">
        <w:rPr>
          <w:i/>
          <w:iCs/>
          <w:sz w:val="24"/>
          <w:szCs w:val="24"/>
        </w:rPr>
        <w:t>When choosing an installer, always ensure they are MCS-certified.</w:t>
      </w:r>
      <w:r w:rsidRPr="00352A6B">
        <w:rPr>
          <w:i/>
          <w:iCs/>
          <w:sz w:val="24"/>
          <w:szCs w:val="24"/>
        </w:rPr>
        <w:br/>
      </w:r>
      <w:r w:rsidRPr="00352A6B">
        <w:rPr>
          <w:i/>
          <w:iCs/>
          <w:sz w:val="24"/>
          <w:szCs w:val="24"/>
        </w:rPr>
        <w:br/>
        <w:t>What is MCS?</w:t>
      </w:r>
    </w:p>
    <w:p w14:paraId="5D40D664" w14:textId="77777777" w:rsidR="00EC227B" w:rsidRPr="00352A6B" w:rsidRDefault="00EC227B" w:rsidP="00EC227B">
      <w:pPr>
        <w:rPr>
          <w:i/>
          <w:iCs/>
          <w:sz w:val="24"/>
          <w:szCs w:val="24"/>
        </w:rPr>
      </w:pPr>
      <w:r w:rsidRPr="00352A6B">
        <w:rPr>
          <w:i/>
          <w:iCs/>
          <w:sz w:val="24"/>
          <w:szCs w:val="24"/>
        </w:rPr>
        <w:t>The Microgeneration Certification Scheme (MCS) is a UK quality assurance scheme that certifies renewable energy products and installers, ensuring they meet high standards of performance and safety.</w:t>
      </w:r>
      <w:r w:rsidRPr="00352A6B">
        <w:rPr>
          <w:i/>
          <w:iCs/>
          <w:sz w:val="24"/>
          <w:szCs w:val="24"/>
        </w:rPr>
        <w:br/>
      </w:r>
      <w:r w:rsidRPr="00352A6B">
        <w:rPr>
          <w:i/>
          <w:iCs/>
          <w:sz w:val="24"/>
          <w:szCs w:val="24"/>
        </w:rPr>
        <w:br/>
        <w:t>Why it matters:</w:t>
      </w:r>
    </w:p>
    <w:p w14:paraId="1B6DA315" w14:textId="77777777" w:rsidR="00EC227B" w:rsidRPr="00352A6B" w:rsidRDefault="00EC227B" w:rsidP="00EC227B">
      <w:pPr>
        <w:pStyle w:val="ListParagraph"/>
        <w:numPr>
          <w:ilvl w:val="0"/>
          <w:numId w:val="3"/>
        </w:numPr>
        <w:rPr>
          <w:i/>
          <w:iCs/>
          <w:sz w:val="24"/>
          <w:szCs w:val="24"/>
        </w:rPr>
      </w:pPr>
      <w:r w:rsidRPr="00352A6B">
        <w:rPr>
          <w:i/>
          <w:iCs/>
          <w:sz w:val="24"/>
          <w:szCs w:val="24"/>
        </w:rPr>
        <w:t>Guarantees that your system is designed and installed to a high standard</w:t>
      </w:r>
    </w:p>
    <w:p w14:paraId="58160D8E" w14:textId="77777777" w:rsidR="00EC227B" w:rsidRPr="00352A6B" w:rsidRDefault="00EC227B" w:rsidP="00EC227B">
      <w:pPr>
        <w:pStyle w:val="ListParagraph"/>
        <w:numPr>
          <w:ilvl w:val="0"/>
          <w:numId w:val="3"/>
        </w:numPr>
        <w:rPr>
          <w:i/>
          <w:iCs/>
          <w:sz w:val="24"/>
          <w:szCs w:val="24"/>
        </w:rPr>
      </w:pPr>
      <w:r w:rsidRPr="00352A6B">
        <w:rPr>
          <w:i/>
          <w:iCs/>
          <w:sz w:val="24"/>
          <w:szCs w:val="24"/>
        </w:rPr>
        <w:t>Ensures eligibility for funding schemes, grants, and export tariffs</w:t>
      </w:r>
    </w:p>
    <w:p w14:paraId="6112F1E0" w14:textId="77777777" w:rsidR="00EC227B" w:rsidRPr="00352A6B" w:rsidRDefault="00EC227B" w:rsidP="00EC227B">
      <w:pPr>
        <w:pStyle w:val="ListParagraph"/>
        <w:numPr>
          <w:ilvl w:val="0"/>
          <w:numId w:val="3"/>
        </w:numPr>
        <w:rPr>
          <w:i/>
          <w:iCs/>
          <w:sz w:val="24"/>
          <w:szCs w:val="24"/>
        </w:rPr>
      </w:pPr>
      <w:r w:rsidRPr="00352A6B">
        <w:rPr>
          <w:i/>
          <w:iCs/>
          <w:sz w:val="24"/>
          <w:szCs w:val="24"/>
        </w:rPr>
        <w:t>Provides consumer protection, including access to a complaints process and workmanship warranty</w:t>
      </w:r>
    </w:p>
    <w:p w14:paraId="2ED610CB" w14:textId="77777777" w:rsidR="00EC227B" w:rsidRPr="00352A6B" w:rsidRDefault="00EC227B" w:rsidP="00EC227B">
      <w:pPr>
        <w:pStyle w:val="ListParagraph"/>
        <w:numPr>
          <w:ilvl w:val="0"/>
          <w:numId w:val="3"/>
        </w:numPr>
        <w:rPr>
          <w:i/>
          <w:iCs/>
          <w:sz w:val="24"/>
          <w:szCs w:val="24"/>
        </w:rPr>
      </w:pPr>
      <w:r w:rsidRPr="00352A6B">
        <w:rPr>
          <w:i/>
          <w:iCs/>
          <w:sz w:val="24"/>
          <w:szCs w:val="24"/>
        </w:rPr>
        <w:lastRenderedPageBreak/>
        <w:t>Helps maximise system efficiency and longevity by using tested equipment and best practices</w:t>
      </w:r>
    </w:p>
    <w:p w14:paraId="654EFD3B" w14:textId="77777777" w:rsidR="00EC227B" w:rsidRPr="00352A6B" w:rsidRDefault="00EC227B" w:rsidP="00EC227B">
      <w:pPr>
        <w:rPr>
          <w:i/>
          <w:iCs/>
          <w:sz w:val="24"/>
          <w:szCs w:val="24"/>
        </w:rPr>
      </w:pPr>
      <w:r w:rsidRPr="00352A6B">
        <w:rPr>
          <w:i/>
          <w:iCs/>
          <w:sz w:val="24"/>
          <w:szCs w:val="24"/>
        </w:rPr>
        <w:t>Find an accredited installer:</w:t>
      </w:r>
    </w:p>
    <w:p w14:paraId="2255B732" w14:textId="77777777" w:rsidR="00EC227B" w:rsidRPr="00352A6B" w:rsidRDefault="00EC227B" w:rsidP="00EC227B">
      <w:pPr>
        <w:rPr>
          <w:i/>
          <w:iCs/>
          <w:sz w:val="24"/>
          <w:szCs w:val="24"/>
        </w:rPr>
      </w:pPr>
      <w:r w:rsidRPr="00352A6B">
        <w:rPr>
          <w:i/>
          <w:iCs/>
          <w:sz w:val="24"/>
          <w:szCs w:val="24"/>
        </w:rPr>
        <w:t>Use the official MCS Installer Search Tool (https://mcscertified.com/find-an-installer/) to find certified installers in your area.</w:t>
      </w:r>
    </w:p>
    <w:p w14:paraId="4D61CF2E" w14:textId="77777777" w:rsidR="00EC227B" w:rsidRPr="00BA5314" w:rsidRDefault="00EC227B" w:rsidP="00EC227B">
      <w:pPr>
        <w:rPr>
          <w:sz w:val="24"/>
          <w:szCs w:val="24"/>
        </w:rPr>
      </w:pPr>
      <w:r w:rsidRPr="005350F7">
        <w:rPr>
          <w:b/>
          <w:bCs/>
          <w:sz w:val="24"/>
          <w:szCs w:val="24"/>
          <w:highlight w:val="yellow"/>
        </w:rPr>
        <w:t>Step Three - Funding for project costs:</w:t>
      </w:r>
    </w:p>
    <w:p w14:paraId="3C5605A2" w14:textId="77777777" w:rsidR="00EC227B" w:rsidRPr="00BA5314" w:rsidRDefault="00EC227B" w:rsidP="00EC227B">
      <w:pPr>
        <w:spacing w:after="0"/>
        <w:rPr>
          <w:sz w:val="24"/>
          <w:szCs w:val="24"/>
        </w:rPr>
      </w:pPr>
      <w:r w:rsidRPr="00BA5314">
        <w:rPr>
          <w:sz w:val="24"/>
          <w:szCs w:val="24"/>
        </w:rPr>
        <w:t>Funding opportunities include:</w:t>
      </w:r>
    </w:p>
    <w:p w14:paraId="4B22DD3C" w14:textId="77777777" w:rsidR="00EC227B" w:rsidRPr="00BA5314" w:rsidRDefault="00EC227B" w:rsidP="00EC227B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BA5314">
        <w:rPr>
          <w:sz w:val="24"/>
          <w:szCs w:val="24"/>
        </w:rPr>
        <w:t>Stratford-on-Avon District Community Climate Change Fund</w:t>
      </w:r>
    </w:p>
    <w:p w14:paraId="138E2848" w14:textId="77777777" w:rsidR="00EC227B" w:rsidRPr="00BA5314" w:rsidRDefault="00EC227B" w:rsidP="00EC227B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BA5314">
        <w:rPr>
          <w:sz w:val="24"/>
          <w:szCs w:val="24"/>
        </w:rPr>
        <w:t>Warwick District RUCIS</w:t>
      </w:r>
    </w:p>
    <w:p w14:paraId="4FAC11B2" w14:textId="77777777" w:rsidR="00EC227B" w:rsidRPr="00BA5314" w:rsidRDefault="00EC227B" w:rsidP="00EC227B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BA5314">
        <w:rPr>
          <w:sz w:val="24"/>
          <w:szCs w:val="24"/>
        </w:rPr>
        <w:t>Heart of England Community Energy Fund</w:t>
      </w:r>
    </w:p>
    <w:p w14:paraId="172FB4B4" w14:textId="77777777" w:rsidR="00EC227B" w:rsidRPr="00BA5314" w:rsidRDefault="00EC227B" w:rsidP="00EC227B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BA5314">
        <w:rPr>
          <w:sz w:val="24"/>
          <w:szCs w:val="24"/>
        </w:rPr>
        <w:t xml:space="preserve">Severn Trent </w:t>
      </w:r>
      <w:hyperlink r:id="rId8" w:history="1">
        <w:r w:rsidRPr="00BA5314">
          <w:rPr>
            <w:rStyle w:val="Hyperlink"/>
            <w:color w:val="auto"/>
            <w:sz w:val="24"/>
            <w:szCs w:val="24"/>
          </w:rPr>
          <w:t>Community Fund</w:t>
        </w:r>
      </w:hyperlink>
    </w:p>
    <w:p w14:paraId="1C342B78" w14:textId="77777777" w:rsidR="00EC227B" w:rsidRPr="00BA5314" w:rsidRDefault="00EC227B" w:rsidP="00EC227B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BA5314">
        <w:rPr>
          <w:sz w:val="24"/>
          <w:szCs w:val="24"/>
        </w:rPr>
        <w:t xml:space="preserve">Biffa: </w:t>
      </w:r>
      <w:hyperlink r:id="rId9" w:history="1">
        <w:r w:rsidRPr="00BA5314">
          <w:rPr>
            <w:rStyle w:val="Hyperlink"/>
            <w:color w:val="auto"/>
            <w:sz w:val="24"/>
            <w:szCs w:val="24"/>
          </w:rPr>
          <w:t>Nature Recovery</w:t>
        </w:r>
      </w:hyperlink>
      <w:r w:rsidRPr="00BA5314">
        <w:rPr>
          <w:sz w:val="24"/>
          <w:szCs w:val="24"/>
        </w:rPr>
        <w:t xml:space="preserve"> </w:t>
      </w:r>
    </w:p>
    <w:p w14:paraId="1874586A" w14:textId="77777777" w:rsidR="00EC227B" w:rsidRPr="00BA5314" w:rsidRDefault="00EC227B" w:rsidP="00EC227B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BA5314">
        <w:rPr>
          <w:sz w:val="24"/>
          <w:szCs w:val="24"/>
        </w:rPr>
        <w:t xml:space="preserve">Stobart </w:t>
      </w:r>
      <w:hyperlink r:id="rId10" w:history="1">
        <w:r w:rsidRPr="00BA5314">
          <w:rPr>
            <w:rStyle w:val="Hyperlink"/>
            <w:color w:val="auto"/>
            <w:sz w:val="24"/>
            <w:szCs w:val="24"/>
          </w:rPr>
          <w:t>Sustainability Fund</w:t>
        </w:r>
      </w:hyperlink>
    </w:p>
    <w:p w14:paraId="4270885D" w14:textId="77777777" w:rsidR="00EC227B" w:rsidRPr="00BA5314" w:rsidRDefault="00EC227B" w:rsidP="00EC227B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BA5314">
        <w:rPr>
          <w:sz w:val="24"/>
          <w:szCs w:val="24"/>
        </w:rPr>
        <w:t xml:space="preserve">IM Properties </w:t>
      </w:r>
      <w:hyperlink r:id="rId11" w:history="1">
        <w:r w:rsidRPr="00BA5314">
          <w:rPr>
            <w:rStyle w:val="Hyperlink"/>
            <w:color w:val="auto"/>
            <w:sz w:val="24"/>
            <w:szCs w:val="24"/>
          </w:rPr>
          <w:t>Community Fund</w:t>
        </w:r>
      </w:hyperlink>
    </w:p>
    <w:p w14:paraId="722C37EA" w14:textId="77777777" w:rsidR="00EC227B" w:rsidRDefault="00EC227B" w:rsidP="00EC227B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BA5314">
        <w:rPr>
          <w:sz w:val="24"/>
          <w:szCs w:val="24"/>
        </w:rPr>
        <w:t xml:space="preserve">National Lottery: </w:t>
      </w:r>
      <w:hyperlink r:id="rId12" w:anchor="section-2" w:history="1">
        <w:r w:rsidRPr="00BA5314">
          <w:rPr>
            <w:rStyle w:val="Hyperlink"/>
            <w:color w:val="auto"/>
            <w:sz w:val="24"/>
            <w:szCs w:val="24"/>
          </w:rPr>
          <w:t>Awards for All – Environment</w:t>
        </w:r>
      </w:hyperlink>
    </w:p>
    <w:p w14:paraId="256A0DEF" w14:textId="77777777" w:rsidR="00EC227B" w:rsidRPr="002750D3" w:rsidRDefault="00EC227B" w:rsidP="00EC227B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2750D3">
        <w:rPr>
          <w:sz w:val="24"/>
          <w:szCs w:val="24"/>
        </w:rPr>
        <w:t>Dedicated climate change grants, e.g. Leamington Spa Town Council</w:t>
      </w:r>
    </w:p>
    <w:p w14:paraId="70A56276" w14:textId="77777777" w:rsidR="00EC227B" w:rsidRDefault="00EC227B" w:rsidP="00EC227B">
      <w:pPr>
        <w:spacing w:after="0"/>
        <w:rPr>
          <w:sz w:val="24"/>
          <w:szCs w:val="24"/>
        </w:rPr>
      </w:pPr>
    </w:p>
    <w:p w14:paraId="13BF4480" w14:textId="77777777" w:rsidR="00EC227B" w:rsidRPr="00BA5314" w:rsidRDefault="00EC227B" w:rsidP="00EC227B">
      <w:pPr>
        <w:spacing w:after="0"/>
        <w:rPr>
          <w:sz w:val="24"/>
          <w:szCs w:val="24"/>
        </w:rPr>
      </w:pPr>
      <w:r w:rsidRPr="00BA5314">
        <w:rPr>
          <w:sz w:val="24"/>
          <w:szCs w:val="24"/>
        </w:rPr>
        <w:t xml:space="preserve">Sports clubs can apply to their NGBs (see </w:t>
      </w:r>
      <w:hyperlink r:id="rId13" w:history="1">
        <w:r w:rsidRPr="00BA5314">
          <w:rPr>
            <w:rStyle w:val="Hyperlink"/>
            <w:color w:val="auto"/>
            <w:sz w:val="24"/>
            <w:szCs w:val="24"/>
          </w:rPr>
          <w:t>ECB</w:t>
        </w:r>
      </w:hyperlink>
      <w:r w:rsidRPr="00BA5314">
        <w:rPr>
          <w:sz w:val="24"/>
          <w:szCs w:val="24"/>
        </w:rPr>
        <w:t>) and to Sport England for climate resilience</w:t>
      </w:r>
    </w:p>
    <w:p w14:paraId="2BB3B140" w14:textId="77777777" w:rsidR="00EC227B" w:rsidRDefault="00EC227B" w:rsidP="00EC227B">
      <w:pPr>
        <w:spacing w:after="0"/>
        <w:rPr>
          <w:sz w:val="24"/>
          <w:szCs w:val="24"/>
        </w:rPr>
      </w:pPr>
    </w:p>
    <w:p w14:paraId="27A3BA6B" w14:textId="77777777" w:rsidR="00EC227B" w:rsidRPr="00BA5314" w:rsidRDefault="00EC227B" w:rsidP="00EC227B">
      <w:pPr>
        <w:spacing w:after="0"/>
        <w:rPr>
          <w:sz w:val="24"/>
          <w:szCs w:val="24"/>
        </w:rPr>
      </w:pPr>
      <w:r w:rsidRPr="00BA5314">
        <w:rPr>
          <w:sz w:val="24"/>
          <w:szCs w:val="24"/>
        </w:rPr>
        <w:t>Village Halls may have grants available through ACRE, contact WRCC for support</w:t>
      </w:r>
    </w:p>
    <w:p w14:paraId="4F33705D" w14:textId="77777777" w:rsidR="00EC227B" w:rsidRDefault="00EC227B" w:rsidP="00EC227B">
      <w:pPr>
        <w:spacing w:after="0"/>
        <w:rPr>
          <w:sz w:val="24"/>
          <w:szCs w:val="24"/>
        </w:rPr>
      </w:pPr>
    </w:p>
    <w:p w14:paraId="036A834B" w14:textId="77777777" w:rsidR="00EC227B" w:rsidRPr="00BA5314" w:rsidRDefault="00EC227B" w:rsidP="00EC227B">
      <w:pPr>
        <w:spacing w:after="0"/>
        <w:rPr>
          <w:sz w:val="24"/>
          <w:szCs w:val="24"/>
        </w:rPr>
      </w:pPr>
      <w:r w:rsidRPr="00BA5314">
        <w:rPr>
          <w:sz w:val="24"/>
          <w:szCs w:val="24"/>
        </w:rPr>
        <w:t>Parish and town council</w:t>
      </w:r>
      <w:r>
        <w:rPr>
          <w:sz w:val="24"/>
          <w:szCs w:val="24"/>
        </w:rPr>
        <w:t xml:space="preserve"> may also offer financial assistance </w:t>
      </w:r>
    </w:p>
    <w:p w14:paraId="283B901E" w14:textId="77777777" w:rsidR="00EC227B" w:rsidRPr="00BA5314" w:rsidRDefault="00EC227B" w:rsidP="00EC227B">
      <w:pPr>
        <w:numPr>
          <w:ilvl w:val="1"/>
          <w:numId w:val="1"/>
        </w:numPr>
        <w:spacing w:after="0"/>
        <w:rPr>
          <w:sz w:val="24"/>
          <w:szCs w:val="24"/>
        </w:rPr>
      </w:pPr>
      <w:r w:rsidRPr="00BA5314">
        <w:rPr>
          <w:sz w:val="24"/>
          <w:szCs w:val="24"/>
        </w:rPr>
        <w:t xml:space="preserve">CIL </w:t>
      </w:r>
      <w:r>
        <w:rPr>
          <w:sz w:val="24"/>
          <w:szCs w:val="24"/>
        </w:rPr>
        <w:t>allocation</w:t>
      </w:r>
    </w:p>
    <w:p w14:paraId="10148766" w14:textId="77777777" w:rsidR="00EC227B" w:rsidRPr="00BA5314" w:rsidRDefault="00EC227B" w:rsidP="00EC227B">
      <w:pPr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Powers to assist village halls and recreational facilities</w:t>
      </w:r>
    </w:p>
    <w:p w14:paraId="7E9B05E1" w14:textId="77777777" w:rsidR="00EC227B" w:rsidRPr="00BA5314" w:rsidRDefault="00EC227B" w:rsidP="00EC227B">
      <w:pPr>
        <w:numPr>
          <w:ilvl w:val="1"/>
          <w:numId w:val="1"/>
        </w:numPr>
        <w:spacing w:after="0"/>
        <w:rPr>
          <w:sz w:val="24"/>
          <w:szCs w:val="24"/>
        </w:rPr>
      </w:pPr>
      <w:r w:rsidRPr="00BA5314">
        <w:rPr>
          <w:sz w:val="24"/>
          <w:szCs w:val="24"/>
        </w:rPr>
        <w:t>PWLB</w:t>
      </w:r>
    </w:p>
    <w:p w14:paraId="1C3D80ED" w14:textId="77777777" w:rsidR="00EC227B" w:rsidRPr="00ED0A10" w:rsidRDefault="00EC227B" w:rsidP="00EC227B">
      <w:pPr>
        <w:numPr>
          <w:ilvl w:val="1"/>
          <w:numId w:val="1"/>
        </w:numPr>
        <w:spacing w:after="0"/>
        <w:rPr>
          <w:b/>
          <w:bCs/>
          <w:sz w:val="24"/>
          <w:szCs w:val="24"/>
        </w:rPr>
      </w:pPr>
      <w:r w:rsidRPr="003F126E">
        <w:rPr>
          <w:sz w:val="24"/>
          <w:szCs w:val="24"/>
        </w:rPr>
        <w:t>Grants using S 137</w:t>
      </w:r>
    </w:p>
    <w:p w14:paraId="7E87C50F" w14:textId="77777777" w:rsidR="00EC227B" w:rsidRDefault="00EC227B" w:rsidP="00EC227B">
      <w:pPr>
        <w:spacing w:after="0"/>
        <w:rPr>
          <w:sz w:val="24"/>
          <w:szCs w:val="24"/>
        </w:rPr>
      </w:pPr>
    </w:p>
    <w:p w14:paraId="399FBCCC" w14:textId="77777777" w:rsidR="00EC227B" w:rsidRPr="00554C99" w:rsidRDefault="00EC227B" w:rsidP="00EC227B">
      <w:pPr>
        <w:spacing w:after="0"/>
        <w:rPr>
          <w:b/>
          <w:bCs/>
          <w:sz w:val="24"/>
          <w:szCs w:val="24"/>
        </w:rPr>
      </w:pPr>
      <w:r w:rsidRPr="00554C99">
        <w:rPr>
          <w:b/>
          <w:bCs/>
          <w:sz w:val="24"/>
          <w:szCs w:val="24"/>
        </w:rPr>
        <w:t xml:space="preserve">Keep up to date on new funding opportunities with the LCEP Newsletter and </w:t>
      </w:r>
      <w:hyperlink r:id="rId14" w:history="1">
        <w:r w:rsidRPr="00554C99">
          <w:rPr>
            <w:rStyle w:val="Hyperlink"/>
            <w:b/>
            <w:bCs/>
            <w:color w:val="auto"/>
            <w:sz w:val="24"/>
            <w:szCs w:val="24"/>
          </w:rPr>
          <w:t>WCAVA grant finder</w:t>
        </w:r>
      </w:hyperlink>
    </w:p>
    <w:p w14:paraId="401AAAC3" w14:textId="77777777" w:rsidR="00EC227B" w:rsidRDefault="00EC227B" w:rsidP="00EC227B">
      <w:pPr>
        <w:pStyle w:val="Heading2"/>
        <w:rPr>
          <w:rFonts w:asciiTheme="minorHAnsi" w:hAnsiTheme="minorHAnsi"/>
          <w:b/>
          <w:bCs/>
          <w:color w:val="auto"/>
          <w:sz w:val="24"/>
          <w:szCs w:val="24"/>
        </w:rPr>
      </w:pPr>
      <w:r w:rsidRPr="005350F7">
        <w:rPr>
          <w:rFonts w:asciiTheme="minorHAnsi" w:hAnsiTheme="minorHAnsi"/>
          <w:b/>
          <w:bCs/>
          <w:color w:val="auto"/>
          <w:sz w:val="24"/>
          <w:szCs w:val="24"/>
          <w:highlight w:val="yellow"/>
        </w:rPr>
        <w:t>Step Four – Engage with the wider community</w:t>
      </w:r>
    </w:p>
    <w:p w14:paraId="5A15CDB6" w14:textId="77777777" w:rsidR="00EC227B" w:rsidRDefault="00EC227B" w:rsidP="00EC227B">
      <w:pPr>
        <w:pStyle w:val="Heading2"/>
        <w:rPr>
          <w:rFonts w:asciiTheme="minorHAnsi" w:hAnsiTheme="minorHAnsi"/>
          <w:color w:val="auto"/>
          <w:sz w:val="24"/>
          <w:szCs w:val="24"/>
        </w:rPr>
      </w:pPr>
      <w:r w:rsidRPr="007F15C4">
        <w:rPr>
          <w:rFonts w:asciiTheme="minorHAnsi" w:hAnsiTheme="minorHAnsi"/>
          <w:color w:val="auto"/>
          <w:sz w:val="24"/>
          <w:szCs w:val="24"/>
        </w:rPr>
        <w:t xml:space="preserve">Use every opportunity to communicate the benefits of renewable energy and energy efficiency. As a community facility, you are </w:t>
      </w:r>
      <w:r>
        <w:rPr>
          <w:rFonts w:asciiTheme="minorHAnsi" w:hAnsiTheme="minorHAnsi"/>
          <w:color w:val="auto"/>
          <w:sz w:val="24"/>
          <w:szCs w:val="24"/>
        </w:rPr>
        <w:t xml:space="preserve">a </w:t>
      </w:r>
      <w:r w:rsidRPr="007F15C4">
        <w:rPr>
          <w:rFonts w:asciiTheme="minorHAnsi" w:hAnsiTheme="minorHAnsi"/>
          <w:color w:val="auto"/>
          <w:sz w:val="24"/>
          <w:szCs w:val="24"/>
        </w:rPr>
        <w:t xml:space="preserve">trusted </w:t>
      </w:r>
      <w:r>
        <w:rPr>
          <w:rFonts w:asciiTheme="minorHAnsi" w:hAnsiTheme="minorHAnsi"/>
          <w:color w:val="auto"/>
          <w:sz w:val="24"/>
          <w:szCs w:val="24"/>
        </w:rPr>
        <w:t>messenger to help residents navigate the maze.</w:t>
      </w:r>
    </w:p>
    <w:p w14:paraId="118194EA" w14:textId="77777777" w:rsidR="00EC227B" w:rsidRPr="0061460F" w:rsidRDefault="00EC227B" w:rsidP="00EC227B">
      <w:r>
        <w:t>Can you create a case study? Signage? Explainers or information boards?  Hold a solar panel event with your installer?</w:t>
      </w:r>
    </w:p>
    <w:p w14:paraId="333A87A9" w14:textId="77777777" w:rsidR="00EC227B" w:rsidRPr="00F336D5" w:rsidRDefault="00EC227B" w:rsidP="00EC227B">
      <w:pPr>
        <w:pStyle w:val="Heading2"/>
        <w:rPr>
          <w:rFonts w:asciiTheme="minorHAnsi" w:hAnsiTheme="minorHAnsi"/>
          <w:b/>
          <w:bCs/>
          <w:color w:val="auto"/>
          <w:sz w:val="24"/>
          <w:szCs w:val="24"/>
        </w:rPr>
      </w:pPr>
      <w:r w:rsidRPr="00F336D5">
        <w:rPr>
          <w:rFonts w:asciiTheme="minorHAnsi" w:hAnsiTheme="minorHAnsi"/>
          <w:b/>
          <w:bCs/>
          <w:color w:val="auto"/>
          <w:sz w:val="24"/>
          <w:szCs w:val="24"/>
        </w:rPr>
        <w:t>Quick Checklist for Committees</w:t>
      </w:r>
    </w:p>
    <w:p w14:paraId="67733024" w14:textId="77777777" w:rsidR="00EC227B" w:rsidRPr="00676C0A" w:rsidRDefault="00EC227B" w:rsidP="00EC227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76C0A">
        <w:rPr>
          <w:sz w:val="24"/>
          <w:szCs w:val="24"/>
        </w:rPr>
        <w:t>Have we carried out an energy audit or DIY survey to identify all savings opportunities?</w:t>
      </w:r>
    </w:p>
    <w:p w14:paraId="490AB570" w14:textId="77777777" w:rsidR="00EC227B" w:rsidRPr="00676C0A" w:rsidRDefault="00EC227B" w:rsidP="00EC227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76C0A">
        <w:rPr>
          <w:sz w:val="24"/>
          <w:szCs w:val="24"/>
        </w:rPr>
        <w:t>Are our annual energy bills high enough that savings will make a difference?</w:t>
      </w:r>
    </w:p>
    <w:p w14:paraId="3ADF53CB" w14:textId="77777777" w:rsidR="00EC227B" w:rsidRPr="00676C0A" w:rsidRDefault="00EC227B" w:rsidP="00EC227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76C0A">
        <w:rPr>
          <w:sz w:val="24"/>
          <w:szCs w:val="24"/>
        </w:rPr>
        <w:lastRenderedPageBreak/>
        <w:t>Do we have a suitable roof or land area (unshaded, south-facing if possible)?</w:t>
      </w:r>
    </w:p>
    <w:p w14:paraId="249E5EE0" w14:textId="77777777" w:rsidR="00EC227B" w:rsidRPr="00676C0A" w:rsidRDefault="00EC227B" w:rsidP="00EC227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76C0A">
        <w:rPr>
          <w:sz w:val="24"/>
          <w:szCs w:val="24"/>
        </w:rPr>
        <w:t>Have we explored available grants or loans (e.g. PWLB)?</w:t>
      </w:r>
    </w:p>
    <w:p w14:paraId="6AAA7FD4" w14:textId="77777777" w:rsidR="00EC227B" w:rsidRPr="00676C0A" w:rsidRDefault="00EC227B" w:rsidP="00EC227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76C0A">
        <w:rPr>
          <w:sz w:val="24"/>
          <w:szCs w:val="24"/>
        </w:rPr>
        <w:t>Have we considered ROI, payback period, and future energy needs?</w:t>
      </w:r>
    </w:p>
    <w:p w14:paraId="29F6DAA8" w14:textId="77777777" w:rsidR="00EC227B" w:rsidRPr="00676C0A" w:rsidRDefault="00EC227B" w:rsidP="00EC227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76C0A">
        <w:rPr>
          <w:sz w:val="24"/>
          <w:szCs w:val="24"/>
        </w:rPr>
        <w:t>Are we insisting on MCS-certified products and installers?</w:t>
      </w:r>
    </w:p>
    <w:p w14:paraId="7E2F356C" w14:textId="77777777" w:rsidR="00EC227B" w:rsidRPr="00676C0A" w:rsidRDefault="00EC227B" w:rsidP="00EC227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76C0A">
        <w:rPr>
          <w:sz w:val="24"/>
          <w:szCs w:val="24"/>
        </w:rPr>
        <w:t>Do we have community or council support for the project?</w:t>
      </w:r>
    </w:p>
    <w:p w14:paraId="74215AA1" w14:textId="77777777" w:rsidR="00EC227B" w:rsidRPr="00676C0A" w:rsidRDefault="00EC227B" w:rsidP="00EC227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76C0A">
        <w:rPr>
          <w:sz w:val="24"/>
          <w:szCs w:val="24"/>
        </w:rPr>
        <w:t>Have we consulted a reputable supplier or used a trusted procurement framework/DPS?</w:t>
      </w:r>
    </w:p>
    <w:p w14:paraId="3E9ECFFE" w14:textId="77777777" w:rsidR="00EC227B" w:rsidRPr="00676C0A" w:rsidRDefault="00EC227B" w:rsidP="00EC227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76C0A">
        <w:rPr>
          <w:sz w:val="24"/>
          <w:szCs w:val="24"/>
        </w:rPr>
        <w:t>Do we have a plan for maintenance, monitoring performance, and possible future expansion?</w:t>
      </w:r>
    </w:p>
    <w:p w14:paraId="6D9E26B3" w14:textId="77777777" w:rsidR="00EC227B" w:rsidRPr="00676C0A" w:rsidRDefault="00EC227B" w:rsidP="00EC227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76C0A">
        <w:rPr>
          <w:sz w:val="24"/>
          <w:szCs w:val="24"/>
        </w:rPr>
        <w:t>Have we maximised all opportunities to engage users of the building to communicate the benefits of solar installation and energy efficiency?</w:t>
      </w:r>
    </w:p>
    <w:p w14:paraId="673FA2A7" w14:textId="77777777" w:rsidR="00EC227B" w:rsidRPr="003D215D" w:rsidRDefault="00EC227B" w:rsidP="00EC227B">
      <w:pPr>
        <w:rPr>
          <w:sz w:val="24"/>
          <w:szCs w:val="24"/>
        </w:rPr>
      </w:pPr>
      <w:r w:rsidRPr="003D215D">
        <w:rPr>
          <w:sz w:val="24"/>
          <w:szCs w:val="24"/>
        </w:rPr>
        <w:t>By taking these steps, parish and town councils can reduce energy costs, protect themselves from price volatility, and contribute to net</w:t>
      </w:r>
      <w:r w:rsidRPr="003D215D">
        <w:rPr>
          <w:sz w:val="24"/>
          <w:szCs w:val="24"/>
        </w:rPr>
        <w:noBreakHyphen/>
        <w:t>zero goals — while creating a visible legacy project for their community.</w:t>
      </w:r>
    </w:p>
    <w:p w14:paraId="0F4FC3CD" w14:textId="77777777" w:rsidR="00EC227B" w:rsidRPr="00BA5314" w:rsidRDefault="00EC227B" w:rsidP="00EC227B">
      <w:pPr>
        <w:rPr>
          <w:b/>
          <w:bCs/>
          <w:sz w:val="24"/>
          <w:szCs w:val="24"/>
        </w:rPr>
      </w:pPr>
      <w:r w:rsidRPr="00BA5314">
        <w:rPr>
          <w:b/>
          <w:bCs/>
          <w:sz w:val="24"/>
          <w:szCs w:val="24"/>
        </w:rPr>
        <w:t>Case studies</w:t>
      </w:r>
    </w:p>
    <w:p w14:paraId="02174EDE" w14:textId="77777777" w:rsidR="00EC227B" w:rsidRPr="00BC212E" w:rsidRDefault="00EC227B" w:rsidP="00EC227B">
      <w:pPr>
        <w:rPr>
          <w:sz w:val="24"/>
          <w:szCs w:val="24"/>
        </w:rPr>
      </w:pPr>
      <w:proofErr w:type="spellStart"/>
      <w:r w:rsidRPr="00BC212E">
        <w:rPr>
          <w:sz w:val="24"/>
          <w:szCs w:val="24"/>
        </w:rPr>
        <w:t>Wixford</w:t>
      </w:r>
      <w:proofErr w:type="spellEnd"/>
      <w:r w:rsidRPr="00BC212E">
        <w:rPr>
          <w:sz w:val="24"/>
          <w:szCs w:val="24"/>
        </w:rPr>
        <w:t xml:space="preserve"> Village Hall (new build)</w:t>
      </w:r>
    </w:p>
    <w:p w14:paraId="53394163" w14:textId="77777777" w:rsidR="00EC227B" w:rsidRPr="00BC212E" w:rsidRDefault="00EC227B" w:rsidP="00EC227B">
      <w:pPr>
        <w:rPr>
          <w:sz w:val="24"/>
          <w:szCs w:val="24"/>
        </w:rPr>
      </w:pPr>
      <w:r w:rsidRPr="00BC212E">
        <w:rPr>
          <w:sz w:val="24"/>
          <w:szCs w:val="24"/>
        </w:rPr>
        <w:t>Snitterfield Village Hall</w:t>
      </w:r>
    </w:p>
    <w:p w14:paraId="568E4949" w14:textId="77777777" w:rsidR="00EC227B" w:rsidRPr="00BC212E" w:rsidRDefault="00EC227B" w:rsidP="00EC227B">
      <w:pPr>
        <w:rPr>
          <w:sz w:val="24"/>
          <w:szCs w:val="24"/>
        </w:rPr>
      </w:pPr>
      <w:r w:rsidRPr="00BC212E">
        <w:rPr>
          <w:sz w:val="24"/>
          <w:szCs w:val="24"/>
        </w:rPr>
        <w:t>(SDC/WDC Case Studies)</w:t>
      </w:r>
    </w:p>
    <w:p w14:paraId="2B9E4997" w14:textId="77777777" w:rsidR="00EC227B" w:rsidRPr="00BA5314" w:rsidRDefault="00EC227B" w:rsidP="00EC227B">
      <w:pPr>
        <w:rPr>
          <w:b/>
          <w:bCs/>
          <w:sz w:val="24"/>
          <w:szCs w:val="24"/>
        </w:rPr>
      </w:pPr>
      <w:r w:rsidRPr="00BA5314">
        <w:rPr>
          <w:b/>
          <w:bCs/>
          <w:sz w:val="24"/>
          <w:szCs w:val="24"/>
        </w:rPr>
        <w:t>National Resources:</w:t>
      </w:r>
    </w:p>
    <w:p w14:paraId="7279F80D" w14:textId="77777777" w:rsidR="00EC227B" w:rsidRDefault="00EC227B" w:rsidP="00EC227B">
      <w:pPr>
        <w:rPr>
          <w:sz w:val="24"/>
          <w:szCs w:val="24"/>
        </w:rPr>
      </w:pPr>
      <w:hyperlink r:id="rId15" w:history="1">
        <w:r w:rsidRPr="000E62E7">
          <w:rPr>
            <w:rStyle w:val="Hyperlink"/>
            <w:sz w:val="24"/>
            <w:szCs w:val="24"/>
          </w:rPr>
          <w:t>Action with Communities in Rural England</w:t>
        </w:r>
      </w:hyperlink>
      <w:r>
        <w:rPr>
          <w:sz w:val="24"/>
          <w:szCs w:val="24"/>
        </w:rPr>
        <w:t xml:space="preserve"> (ACRE)</w:t>
      </w:r>
    </w:p>
    <w:p w14:paraId="4C2DEE87" w14:textId="77777777" w:rsidR="00EC227B" w:rsidRPr="00BA5314" w:rsidRDefault="00EC227B" w:rsidP="00EC227B">
      <w:pPr>
        <w:rPr>
          <w:sz w:val="24"/>
          <w:szCs w:val="24"/>
        </w:rPr>
      </w:pPr>
      <w:r w:rsidRPr="00BA5314">
        <w:rPr>
          <w:sz w:val="24"/>
          <w:szCs w:val="24"/>
        </w:rPr>
        <w:t>C</w:t>
      </w:r>
      <w:r>
        <w:rPr>
          <w:sz w:val="24"/>
          <w:szCs w:val="24"/>
        </w:rPr>
        <w:t xml:space="preserve">entre for </w:t>
      </w:r>
      <w:r w:rsidRPr="00BA5314">
        <w:rPr>
          <w:sz w:val="24"/>
          <w:szCs w:val="24"/>
        </w:rPr>
        <w:t>S</w:t>
      </w:r>
      <w:r>
        <w:rPr>
          <w:sz w:val="24"/>
          <w:szCs w:val="24"/>
        </w:rPr>
        <w:t xml:space="preserve">ustainable </w:t>
      </w:r>
      <w:r w:rsidRPr="00BA5314">
        <w:rPr>
          <w:sz w:val="24"/>
          <w:szCs w:val="24"/>
        </w:rPr>
        <w:t>E</w:t>
      </w:r>
      <w:r>
        <w:rPr>
          <w:sz w:val="24"/>
          <w:szCs w:val="24"/>
        </w:rPr>
        <w:t>nergy (CSE)</w:t>
      </w:r>
    </w:p>
    <w:p w14:paraId="192488C9" w14:textId="77777777" w:rsidR="00EC227B" w:rsidRPr="00BA5314" w:rsidRDefault="00EC227B" w:rsidP="00EC227B">
      <w:pPr>
        <w:rPr>
          <w:sz w:val="24"/>
          <w:szCs w:val="24"/>
        </w:rPr>
      </w:pPr>
      <w:r w:rsidRPr="00BA5314">
        <w:rPr>
          <w:sz w:val="24"/>
          <w:szCs w:val="24"/>
        </w:rPr>
        <w:t>Historic England</w:t>
      </w:r>
    </w:p>
    <w:p w14:paraId="29A05565" w14:textId="77777777" w:rsidR="00EC227B" w:rsidRPr="00BA5314" w:rsidRDefault="00EC227B" w:rsidP="00EC227B">
      <w:pPr>
        <w:rPr>
          <w:b/>
          <w:bCs/>
          <w:sz w:val="24"/>
          <w:szCs w:val="24"/>
        </w:rPr>
      </w:pPr>
      <w:r w:rsidRPr="00BA5314">
        <w:rPr>
          <w:b/>
          <w:bCs/>
          <w:sz w:val="24"/>
          <w:szCs w:val="24"/>
        </w:rPr>
        <w:t>Local Organisations:</w:t>
      </w:r>
    </w:p>
    <w:p w14:paraId="06F8DD62" w14:textId="77777777" w:rsidR="00EC227B" w:rsidRPr="00BA5314" w:rsidRDefault="00EC227B" w:rsidP="00EC227B">
      <w:pPr>
        <w:rPr>
          <w:sz w:val="24"/>
          <w:szCs w:val="24"/>
        </w:rPr>
      </w:pPr>
      <w:r w:rsidRPr="00BA5314">
        <w:rPr>
          <w:sz w:val="24"/>
          <w:szCs w:val="24"/>
        </w:rPr>
        <w:t>Act-on Energy</w:t>
      </w:r>
    </w:p>
    <w:p w14:paraId="1451BC57" w14:textId="77777777" w:rsidR="00EC227B" w:rsidRPr="00BA5314" w:rsidRDefault="00EC227B" w:rsidP="00EC227B">
      <w:pPr>
        <w:rPr>
          <w:sz w:val="24"/>
          <w:szCs w:val="24"/>
        </w:rPr>
      </w:pPr>
      <w:hyperlink r:id="rId16" w:history="1">
        <w:r w:rsidRPr="00DB19D6">
          <w:rPr>
            <w:rStyle w:val="Hyperlink"/>
            <w:sz w:val="24"/>
            <w:szCs w:val="24"/>
          </w:rPr>
          <w:t>Net Zero Stratford</w:t>
        </w:r>
      </w:hyperlink>
    </w:p>
    <w:p w14:paraId="1EB310E0" w14:textId="77777777" w:rsidR="00EC227B" w:rsidRDefault="00EC227B" w:rsidP="00EC227B">
      <w:pPr>
        <w:rPr>
          <w:sz w:val="24"/>
          <w:szCs w:val="24"/>
        </w:rPr>
      </w:pPr>
      <w:hyperlink r:id="rId17" w:history="1">
        <w:r w:rsidRPr="00B47482">
          <w:rPr>
            <w:rStyle w:val="Hyperlink"/>
            <w:sz w:val="24"/>
            <w:szCs w:val="24"/>
          </w:rPr>
          <w:t>Low Carbon Warwickshire Network</w:t>
        </w:r>
      </w:hyperlink>
    </w:p>
    <w:p w14:paraId="569B2EDA" w14:textId="77777777" w:rsidR="00EC227B" w:rsidRPr="005350F7" w:rsidRDefault="00EC227B" w:rsidP="00EC227B">
      <w:pPr>
        <w:rPr>
          <w:sz w:val="24"/>
          <w:szCs w:val="24"/>
        </w:rPr>
      </w:pPr>
      <w:hyperlink r:id="rId18" w:history="1">
        <w:r w:rsidRPr="00765F15">
          <w:rPr>
            <w:rStyle w:val="Hyperlink"/>
            <w:sz w:val="24"/>
            <w:szCs w:val="24"/>
          </w:rPr>
          <w:t>Warwickshire Rural Community Council</w:t>
        </w:r>
      </w:hyperlink>
      <w:r>
        <w:rPr>
          <w:sz w:val="24"/>
          <w:szCs w:val="24"/>
        </w:rPr>
        <w:t xml:space="preserve"> (WRCC)</w:t>
      </w:r>
    </w:p>
    <w:p w14:paraId="6EC5D01C" w14:textId="77777777" w:rsidR="00EC227B" w:rsidRDefault="00EC227B"/>
    <w:sectPr w:rsidR="00EC227B"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5E3EC" w14:textId="77777777" w:rsidR="00014707" w:rsidRDefault="00014707" w:rsidP="00014707">
      <w:pPr>
        <w:spacing w:after="0" w:line="240" w:lineRule="auto"/>
      </w:pPr>
      <w:r>
        <w:separator/>
      </w:r>
    </w:p>
  </w:endnote>
  <w:endnote w:type="continuationSeparator" w:id="0">
    <w:p w14:paraId="6D0BE9CC" w14:textId="77777777" w:rsidR="00014707" w:rsidRDefault="00014707" w:rsidP="00014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DC9C6" w14:textId="77777777" w:rsidR="00BD189B" w:rsidRDefault="00014707">
    <w:pPr>
      <w:pStyle w:val="Footer"/>
      <w:rPr>
        <w:lang w:val="en-US"/>
      </w:rPr>
    </w:pPr>
    <w:r>
      <w:rPr>
        <w:lang w:val="en-US"/>
      </w:rPr>
      <w:t xml:space="preserve">South Warwickshire Local Climate Engagement </w:t>
    </w:r>
    <w:proofErr w:type="spellStart"/>
    <w:r>
      <w:rPr>
        <w:lang w:val="en-US"/>
      </w:rPr>
      <w:t>Programme</w:t>
    </w:r>
    <w:proofErr w:type="spellEnd"/>
  </w:p>
  <w:p w14:paraId="5724F940" w14:textId="166B12D2" w:rsidR="00014707" w:rsidRPr="00014707" w:rsidRDefault="00014707">
    <w:pPr>
      <w:pStyle w:val="Footer"/>
      <w:rPr>
        <w:lang w:val="en-US"/>
      </w:rPr>
    </w:pPr>
    <w:r>
      <w:rPr>
        <w:lang w:val="en-US"/>
      </w:rPr>
      <w:t xml:space="preserve">DRAFT VERSION </w:t>
    </w:r>
    <w:r w:rsidR="00BD189B">
      <w:rPr>
        <w:lang w:val="en-US"/>
      </w:rPr>
      <w:t>last revised 11/11/2025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D30D4" w14:textId="77777777" w:rsidR="00014707" w:rsidRDefault="00014707" w:rsidP="00014707">
      <w:pPr>
        <w:spacing w:after="0" w:line="240" w:lineRule="auto"/>
      </w:pPr>
      <w:r>
        <w:separator/>
      </w:r>
    </w:p>
  </w:footnote>
  <w:footnote w:type="continuationSeparator" w:id="0">
    <w:p w14:paraId="6D16B021" w14:textId="77777777" w:rsidR="00014707" w:rsidRDefault="00014707" w:rsidP="00014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1267F"/>
    <w:multiLevelType w:val="hybridMultilevel"/>
    <w:tmpl w:val="23361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E68AD"/>
    <w:multiLevelType w:val="multilevel"/>
    <w:tmpl w:val="0D06DC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BB62F0"/>
    <w:multiLevelType w:val="hybridMultilevel"/>
    <w:tmpl w:val="959E3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E3CCC"/>
    <w:multiLevelType w:val="hybridMultilevel"/>
    <w:tmpl w:val="45FC3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028283">
    <w:abstractNumId w:val="1"/>
  </w:num>
  <w:num w:numId="2" w16cid:durableId="1366255502">
    <w:abstractNumId w:val="0"/>
  </w:num>
  <w:num w:numId="3" w16cid:durableId="44524403">
    <w:abstractNumId w:val="3"/>
  </w:num>
  <w:num w:numId="4" w16cid:durableId="457577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7B"/>
    <w:rsid w:val="00014707"/>
    <w:rsid w:val="00147B84"/>
    <w:rsid w:val="00BD189B"/>
    <w:rsid w:val="00EC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6B558"/>
  <w15:chartTrackingRefBased/>
  <w15:docId w15:val="{EE4DF99C-0D47-4827-BBC3-81B43A83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27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22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2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2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2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2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2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2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2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2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C22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2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2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2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22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2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2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2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2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22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22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22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2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2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22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227B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47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70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47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70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water.co.uk/about-us/severn-trent-community-fund/" TargetMode="External"/><Relationship Id="rId13" Type="http://schemas.openxmlformats.org/officeDocument/2006/relationships/hyperlink" Target="https://www.ecb.co.uk/play/club-support/club-funding/county-grant-fund?_gl=1*121fuc0*_up*MQ..*_ga*MjM3NDQ0NDMxLjE3NDcyMzQ2MTU.*_ga_RB2BVD5EKH*czE3NDcyMzQ2MTUkbzEkZzEkdDE3NDcyMzQ2MTkkajAkbDAkaDA.*_ga_E3D3L0MGDX*czE3NDcyMzQ2MTUkbzEkZzEkdDE3NDcyMzQ2MTkkajAkbDAkaDA." TargetMode="External"/><Relationship Id="rId18" Type="http://schemas.openxmlformats.org/officeDocument/2006/relationships/hyperlink" Target="https://www.wrccrural.org.uk/services/halls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actonenergy.org.uk/business-development/free-energy-bill-check" TargetMode="External"/><Relationship Id="rId12" Type="http://schemas.openxmlformats.org/officeDocument/2006/relationships/hyperlink" Target="https://www.tnlcommunityfund.org.uk/funding/programmes/national-lottery-awards-for-all-england-environment" TargetMode="External"/><Relationship Id="rId17" Type="http://schemas.openxmlformats.org/officeDocument/2006/relationships/hyperlink" Target="https://www.harburyenergy.co.uk/warwickshire-low-carbon-network/" TargetMode="External"/><Relationship Id="rId2" Type="http://schemas.openxmlformats.org/officeDocument/2006/relationships/styles" Target="styles.xml"/><Relationship Id="rId16" Type="http://schemas.openxmlformats.org/officeDocument/2006/relationships/hyperlink" Target="https://netzerostratford.org.uk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eartofenglandcf.org/im-properties-community-fund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cre.org.uk/action-on-climate-change/" TargetMode="External"/><Relationship Id="rId10" Type="http://schemas.openxmlformats.org/officeDocument/2006/relationships/hyperlink" Target="https://eddiestobart.com/the-stobart-sustainability-fund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biffa-award.org/rebuilding-biodiversity/" TargetMode="External"/><Relationship Id="rId14" Type="http://schemas.openxmlformats.org/officeDocument/2006/relationships/hyperlink" Target="https://www.walc.org.uk/free-access-to-grants-databa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Pearson</dc:creator>
  <cp:keywords/>
  <dc:description/>
  <cp:lastModifiedBy>Claudine Pearson</cp:lastModifiedBy>
  <cp:revision>4</cp:revision>
  <dcterms:created xsi:type="dcterms:W3CDTF">2025-11-12T12:10:00Z</dcterms:created>
  <dcterms:modified xsi:type="dcterms:W3CDTF">2025-11-12T12:12:00Z</dcterms:modified>
</cp:coreProperties>
</file>